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498AFF"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b/>
          <w:bCs/>
          <w:color w:val="000000"/>
          <w:kern w:val="0"/>
          <w:lang w:eastAsia="en-GB"/>
          <w14:ligatures w14:val="none"/>
        </w:rPr>
        <w:t>Subject: Raising Awareness and Disseminating the Helsinki Declaration on Patient Safety at Home</w:t>
      </w:r>
    </w:p>
    <w:p w14:paraId="3C664642"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Dear BetterCare Management Committee Members and Members of COST Action CA22152 – BetterCare,</w:t>
      </w:r>
    </w:p>
    <w:p w14:paraId="3AA221DA"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As Co-Leader of Working Group 1 of the COST Action BetterCare, I would like to invite all members of the Action to actively support the dissemination and implementation of the Helsinki Declaration on Patient Safety at Home, developed following the Helsinki meeting held on 14–15 April 2026.</w:t>
      </w:r>
    </w:p>
    <w:p w14:paraId="78F973CB"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The Declaration represents an important outcome of our collective work and reflects a broad consensus among health and care professionals and informal caregiver representatives from across Europe. It places informal caregiving and care at home firmly within the patient safety agenda, recognising that the home is no longer simply a place where care happens after discharge, but an increasingly important setting of care in its own right.</w:t>
      </w:r>
    </w:p>
    <w:p w14:paraId="14DC3D84"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The Declaration highlights a fundamental shift in the way care is organised. As health systems increasingly move towards continuous, distributed and technology-enabled models of care, patients and informal caregivers are becoming active participants in care processes. Consequently, patient safety must extend beyond institutional settings and encompass the entire continuum of care, including the home.</w:t>
      </w:r>
    </w:p>
    <w:p w14:paraId="6030B3B6" w14:textId="77777777" w:rsidR="005C642F" w:rsidRPr="005C642F" w:rsidRDefault="005C642F" w:rsidP="005C642F">
      <w:pPr>
        <w:spacing w:before="100" w:beforeAutospacing="1" w:after="100" w:afterAutospacing="1" w:line="240" w:lineRule="auto"/>
        <w:outlineLvl w:val="2"/>
        <w:rPr>
          <w:rFonts w:ascii="Times New Roman" w:eastAsia="Times New Roman" w:hAnsi="Times New Roman" w:cs="Times New Roman"/>
          <w:color w:val="000000"/>
          <w:kern w:val="0"/>
          <w:sz w:val="27"/>
          <w:szCs w:val="27"/>
          <w:lang w:eastAsia="en-GB"/>
          <w14:ligatures w14:val="none"/>
        </w:rPr>
      </w:pPr>
      <w:r w:rsidRPr="005C642F">
        <w:rPr>
          <w:rFonts w:ascii="Times New Roman" w:eastAsia="Times New Roman" w:hAnsi="Times New Roman" w:cs="Times New Roman"/>
          <w:color w:val="000000"/>
          <w:kern w:val="0"/>
          <w:sz w:val="27"/>
          <w:szCs w:val="27"/>
          <w:lang w:eastAsia="en-GB"/>
          <w14:ligatures w14:val="none"/>
        </w:rPr>
        <w:t>Our request to BetterCare members</w:t>
      </w:r>
    </w:p>
    <w:p w14:paraId="476B4740" w14:textId="04D1DBBB"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We would like to encourage each MC member</w:t>
      </w:r>
      <w:r>
        <w:rPr>
          <w:rFonts w:ascii="Times New Roman" w:eastAsia="Times New Roman" w:hAnsi="Times New Roman" w:cs="Times New Roman"/>
          <w:color w:val="000000"/>
          <w:kern w:val="0"/>
          <w:lang w:eastAsia="en-GB"/>
          <w14:ligatures w14:val="none"/>
        </w:rPr>
        <w:t>s</w:t>
      </w:r>
      <w:r w:rsidRPr="005C642F">
        <w:rPr>
          <w:rFonts w:ascii="Times New Roman" w:eastAsia="Times New Roman" w:hAnsi="Times New Roman" w:cs="Times New Roman"/>
          <w:color w:val="000000"/>
          <w:kern w:val="0"/>
          <w:lang w:eastAsia="en-GB"/>
          <w14:ligatures w14:val="none"/>
        </w:rPr>
        <w:t xml:space="preserve"> and BetterCare member</w:t>
      </w:r>
      <w:r>
        <w:rPr>
          <w:rFonts w:ascii="Times New Roman" w:eastAsia="Times New Roman" w:hAnsi="Times New Roman" w:cs="Times New Roman"/>
          <w:color w:val="000000"/>
          <w:kern w:val="0"/>
          <w:lang w:eastAsia="en-GB"/>
          <w14:ligatures w14:val="none"/>
        </w:rPr>
        <w:t>s</w:t>
      </w:r>
      <w:r w:rsidRPr="005C642F">
        <w:rPr>
          <w:rFonts w:ascii="Times New Roman" w:eastAsia="Times New Roman" w:hAnsi="Times New Roman" w:cs="Times New Roman"/>
          <w:color w:val="000000"/>
          <w:kern w:val="0"/>
          <w:lang w:eastAsia="en-GB"/>
          <w14:ligatures w14:val="none"/>
        </w:rPr>
        <w:t xml:space="preserve"> to act as ambassador</w:t>
      </w:r>
      <w:r>
        <w:rPr>
          <w:rFonts w:ascii="Times New Roman" w:eastAsia="Times New Roman" w:hAnsi="Times New Roman" w:cs="Times New Roman"/>
          <w:color w:val="000000"/>
          <w:kern w:val="0"/>
          <w:lang w:eastAsia="en-GB"/>
          <w14:ligatures w14:val="none"/>
        </w:rPr>
        <w:t>s</w:t>
      </w:r>
      <w:r w:rsidRPr="005C642F">
        <w:rPr>
          <w:rFonts w:ascii="Times New Roman" w:eastAsia="Times New Roman" w:hAnsi="Times New Roman" w:cs="Times New Roman"/>
          <w:color w:val="000000"/>
          <w:kern w:val="0"/>
          <w:lang w:eastAsia="en-GB"/>
          <w14:ligatures w14:val="none"/>
        </w:rPr>
        <w:t xml:space="preserve"> for the Helsinki Declaration by sharing it with relevant stakeholders in their country and professional network.</w:t>
      </w:r>
    </w:p>
    <w:p w14:paraId="79993EEF"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In particular, we encourage dissemination to three key stakeholder groups:</w:t>
      </w:r>
    </w:p>
    <w:p w14:paraId="07104B1E"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1. Policymakers and public authorities</w:t>
      </w:r>
    </w:p>
    <w:p w14:paraId="171E6DC8"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The Declaration calls for informal caregivers to be recognised as a structural component of patient safety and care systems, and for home care to be explicitly incorporated into national patient-safety strategies, care policies and planning.</w:t>
      </w:r>
    </w:p>
    <w:p w14:paraId="056647C2"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Members are therefore encouraged to share the Declaration with:</w:t>
      </w:r>
    </w:p>
    <w:p w14:paraId="3FDB967F" w14:textId="77777777" w:rsidR="005C642F" w:rsidRPr="005C642F" w:rsidRDefault="005C642F" w:rsidP="005C642F">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Ministries of Health, Social Affairs and related ministries;</w:t>
      </w:r>
    </w:p>
    <w:p w14:paraId="662968BE" w14:textId="77777777" w:rsidR="005C642F" w:rsidRPr="005C642F" w:rsidRDefault="005C642F" w:rsidP="005C642F">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national and regional health authorities;</w:t>
      </w:r>
    </w:p>
    <w:p w14:paraId="5DA41C5C" w14:textId="77777777" w:rsidR="005C642F" w:rsidRPr="005C642F" w:rsidRDefault="005C642F" w:rsidP="005C642F">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patient-safety and quality agencies;</w:t>
      </w:r>
    </w:p>
    <w:p w14:paraId="7BE0DF5E" w14:textId="77777777" w:rsidR="005C642F" w:rsidRPr="005C642F" w:rsidRDefault="005C642F" w:rsidP="005C642F">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policymakers responsible for ageing, disability, social care and long-term care;</w:t>
      </w:r>
    </w:p>
    <w:p w14:paraId="7CE61334" w14:textId="77777777" w:rsidR="005C642F" w:rsidRPr="005C642F" w:rsidRDefault="005C642F" w:rsidP="005C642F">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professional and governmental bodies developing national care and patient-safety strategies.</w:t>
      </w:r>
    </w:p>
    <w:p w14:paraId="217BAE0D"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2. Non-governmental organisations and patient/carer organisations</w:t>
      </w:r>
    </w:p>
    <w:p w14:paraId="20D0DB74"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lastRenderedPageBreak/>
        <w:t>NGOs, patient organisations, caregiver associations and civil-society organisations have an important role in making the experiences and needs of people receiving care and those providing care visible within policy and practice.</w:t>
      </w:r>
    </w:p>
    <w:p w14:paraId="077FA37F"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The Declaration emphasises that caregiver training, health literacy, practical support, respite and clear communication are not optional additions but important conditions for safer care at home. It also highlights caregiver burden and burnout as system-level patient-safety concerns.</w:t>
      </w:r>
    </w:p>
    <w:p w14:paraId="46AFF503"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We therefore encourage members to share the Declaration with relevant:</w:t>
      </w:r>
    </w:p>
    <w:p w14:paraId="67573E91" w14:textId="77777777" w:rsidR="005C642F" w:rsidRPr="005C642F" w:rsidRDefault="005C642F" w:rsidP="005C642F">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patient and caregiver organisations;</w:t>
      </w:r>
    </w:p>
    <w:p w14:paraId="19082FA6" w14:textId="77777777" w:rsidR="005C642F" w:rsidRPr="005C642F" w:rsidRDefault="005C642F" w:rsidP="005C642F">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NGOs working in health, social care, ageing, disability and community care;</w:t>
      </w:r>
    </w:p>
    <w:p w14:paraId="6A18A727" w14:textId="77777777" w:rsidR="005C642F" w:rsidRPr="005C642F" w:rsidRDefault="005C642F" w:rsidP="005C642F">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advocacy organisations;</w:t>
      </w:r>
    </w:p>
    <w:p w14:paraId="4ED177AE" w14:textId="77777777" w:rsidR="005C642F" w:rsidRPr="005C642F" w:rsidRDefault="005C642F" w:rsidP="005C642F">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civil-society and community organisations;</w:t>
      </w:r>
    </w:p>
    <w:p w14:paraId="54E9395C" w14:textId="77777777" w:rsidR="005C642F" w:rsidRPr="005C642F" w:rsidRDefault="005C642F" w:rsidP="005C642F">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organisations representing informal and family caregivers.</w:t>
      </w:r>
    </w:p>
    <w:p w14:paraId="124A4E86"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3. Healthcare and social-care organisations</w:t>
      </w:r>
    </w:p>
    <w:p w14:paraId="47B324D3"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Healthcare organisations are key partners in translating the Declaration into practice. The document highlights the need for safer discharge processes, medication reconciliation, appropriate preparation of caregivers, accessible contact points, follow-up, case management and coordination between health and social care.</w:t>
      </w:r>
    </w:p>
    <w:p w14:paraId="3E988AB2"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Members are therefore encouraged to disseminate the Declaration within:</w:t>
      </w:r>
    </w:p>
    <w:p w14:paraId="7D0D928C" w14:textId="77777777" w:rsidR="005C642F" w:rsidRPr="005C642F" w:rsidRDefault="005C642F" w:rsidP="005C642F">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hospitals and healthcare organisations;</w:t>
      </w:r>
    </w:p>
    <w:p w14:paraId="0CBBF46E" w14:textId="77777777" w:rsidR="005C642F" w:rsidRPr="005C642F" w:rsidRDefault="005C642F" w:rsidP="005C642F">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primary and community care organisations;</w:t>
      </w:r>
    </w:p>
    <w:p w14:paraId="219CE546" w14:textId="77777777" w:rsidR="005C642F" w:rsidRPr="005C642F" w:rsidRDefault="005C642F" w:rsidP="005C642F">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home-care and hospice services;</w:t>
      </w:r>
    </w:p>
    <w:p w14:paraId="1B146295" w14:textId="77777777" w:rsidR="005C642F" w:rsidRPr="005C642F" w:rsidRDefault="005C642F" w:rsidP="005C642F">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social-care organisations;</w:t>
      </w:r>
    </w:p>
    <w:p w14:paraId="7816B1C9" w14:textId="77777777" w:rsidR="005C642F" w:rsidRPr="005C642F" w:rsidRDefault="005C642F" w:rsidP="005C642F">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professional healthcare associations;</w:t>
      </w:r>
    </w:p>
    <w:p w14:paraId="19AF6D0C" w14:textId="77777777" w:rsidR="005C642F" w:rsidRPr="005C642F" w:rsidRDefault="005C642F" w:rsidP="005C642F">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organisations developing digital, telemedicine and remote-monitoring services.</w:t>
      </w:r>
    </w:p>
    <w:p w14:paraId="79F7371A" w14:textId="77777777" w:rsidR="005C642F" w:rsidRPr="005C642F" w:rsidRDefault="005C642F" w:rsidP="005C642F">
      <w:pPr>
        <w:spacing w:before="100" w:beforeAutospacing="1" w:after="100" w:afterAutospacing="1" w:line="240" w:lineRule="auto"/>
        <w:outlineLvl w:val="2"/>
        <w:rPr>
          <w:rFonts w:ascii="Times New Roman" w:eastAsia="Times New Roman" w:hAnsi="Times New Roman" w:cs="Times New Roman"/>
          <w:color w:val="000000"/>
          <w:kern w:val="0"/>
          <w:sz w:val="27"/>
          <w:szCs w:val="27"/>
          <w:lang w:eastAsia="en-GB"/>
          <w14:ligatures w14:val="none"/>
        </w:rPr>
      </w:pPr>
      <w:r w:rsidRPr="005C642F">
        <w:rPr>
          <w:rFonts w:ascii="Times New Roman" w:eastAsia="Times New Roman" w:hAnsi="Times New Roman" w:cs="Times New Roman"/>
          <w:color w:val="000000"/>
          <w:kern w:val="0"/>
          <w:sz w:val="27"/>
          <w:szCs w:val="27"/>
          <w:lang w:eastAsia="en-GB"/>
          <w14:ligatures w14:val="none"/>
        </w:rPr>
        <w:t>From awareness to action</w:t>
      </w:r>
    </w:p>
    <w:p w14:paraId="1C09E72B"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We would particularly welcome members using the Declaration as a basis for dialogue and action, rather than simply circulating the document.</w:t>
      </w:r>
    </w:p>
    <w:p w14:paraId="42F626E0"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The Declaration identifies ten interconnected areas for action, including recognition of informal caregivers within patient-safety systems, recognition of the home as a priority safety setting, integration of health and social care, institutional accountability, case management and navigation, caregiver training and health literacy, prevention of caregiver burnout, support following safety incidents, protection of paid home-care workers, and the development of appropriate measurement and indicators.</w:t>
      </w:r>
    </w:p>
    <w:p w14:paraId="783E3970"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We therefore encourage members, where appropriate, to use the Declaration to:</w:t>
      </w:r>
    </w:p>
    <w:p w14:paraId="062E6445" w14:textId="77777777" w:rsidR="005C642F" w:rsidRPr="005C642F" w:rsidRDefault="005C642F" w:rsidP="005C642F">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initiate discussions with policymakers and decision-makers;</w:t>
      </w:r>
    </w:p>
    <w:p w14:paraId="3CC951CE" w14:textId="77777777" w:rsidR="005C642F" w:rsidRPr="005C642F" w:rsidRDefault="005C642F" w:rsidP="005C642F">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raise the issue at national conferences, meetings and workshops;</w:t>
      </w:r>
    </w:p>
    <w:p w14:paraId="12542228" w14:textId="77777777" w:rsidR="005C642F" w:rsidRPr="005C642F" w:rsidRDefault="005C642F" w:rsidP="005C642F">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engage patient, carer and NGO networks;</w:t>
      </w:r>
    </w:p>
    <w:p w14:paraId="40AF1599" w14:textId="77777777" w:rsidR="005C642F" w:rsidRPr="005C642F" w:rsidRDefault="005C642F" w:rsidP="005C642F">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lastRenderedPageBreak/>
        <w:t>discuss its recommendations with healthcare and social-care organisations;</w:t>
      </w:r>
    </w:p>
    <w:p w14:paraId="17DC69D9" w14:textId="77777777" w:rsidR="005C642F" w:rsidRPr="005C642F" w:rsidRDefault="005C642F" w:rsidP="005C642F">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identify opportunities for national or regional implementation;</w:t>
      </w:r>
    </w:p>
    <w:p w14:paraId="7DD56672" w14:textId="77777777" w:rsidR="005C642F" w:rsidRPr="005C642F" w:rsidRDefault="005C642F" w:rsidP="005C642F">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promote research and data collection on patient safety at home;</w:t>
      </w:r>
    </w:p>
    <w:p w14:paraId="7EC82197" w14:textId="77777777" w:rsidR="005C642F" w:rsidRPr="005C642F" w:rsidRDefault="005C642F" w:rsidP="005C642F">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identify gaps in existing patient-safety and care strategies;</w:t>
      </w:r>
    </w:p>
    <w:p w14:paraId="5EBD998F" w14:textId="77777777" w:rsidR="005C642F" w:rsidRPr="005C642F" w:rsidRDefault="005C642F" w:rsidP="005C642F">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explore opportunities for collaboration between formal and informal caregivers.</w:t>
      </w:r>
    </w:p>
    <w:p w14:paraId="2AB8FEF5" w14:textId="77777777" w:rsidR="005C642F" w:rsidRPr="005C642F" w:rsidRDefault="005C642F" w:rsidP="005C642F">
      <w:pPr>
        <w:spacing w:before="100" w:beforeAutospacing="1" w:after="100" w:afterAutospacing="1" w:line="240" w:lineRule="auto"/>
        <w:outlineLvl w:val="2"/>
        <w:rPr>
          <w:rFonts w:ascii="Times New Roman" w:eastAsia="Times New Roman" w:hAnsi="Times New Roman" w:cs="Times New Roman"/>
          <w:color w:val="000000"/>
          <w:kern w:val="0"/>
          <w:sz w:val="27"/>
          <w:szCs w:val="27"/>
          <w:lang w:eastAsia="en-GB"/>
          <w14:ligatures w14:val="none"/>
        </w:rPr>
      </w:pPr>
      <w:r w:rsidRPr="005C642F">
        <w:rPr>
          <w:rFonts w:ascii="Times New Roman" w:eastAsia="Times New Roman" w:hAnsi="Times New Roman" w:cs="Times New Roman"/>
          <w:color w:val="000000"/>
          <w:kern w:val="0"/>
          <w:sz w:val="27"/>
          <w:szCs w:val="27"/>
          <w:lang w:eastAsia="en-GB"/>
          <w14:ligatures w14:val="none"/>
        </w:rPr>
        <w:t>A collective BetterCare message</w:t>
      </w:r>
    </w:p>
    <w:p w14:paraId="1619C816"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The Helsinki Declaration provides us with an opportunity to develop a stronger European voice on patient safety at home.</w:t>
      </w:r>
    </w:p>
    <w:p w14:paraId="761DA79D"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The scale of informal caregiving across Europe means that this cannot remain a peripheral issue. The Declaration notes that around 52 million people in Europe provide informal long-term care and stresses that the safety of the person receiving care and the wellbeing and safety of the caregiver are intrinsically connected.</w:t>
      </w:r>
    </w:p>
    <w:p w14:paraId="6AB43801"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Importantly, the Declaration concludes with a clear message: protecting those who care is part of protecting those who receive care. It calls for recognition, integration, training, measurement and institutional responsibility so that home care can become safer, fairer and more sustainable across Europe.</w:t>
      </w:r>
    </w:p>
    <w:p w14:paraId="1ED575E0"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We would therefore like to make the dissemination of the Helsinki Declaration a collective BetterCare effort.</w:t>
      </w:r>
    </w:p>
    <w:p w14:paraId="7E17E159"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I would be grateful if MC members and Action members could identify key stakeholders within their own countries and networks and share the Declaration with them. Where possible, please also consider establishing a dialogue with these stakeholders to explore how the principles of the Declaration could inform policy, organisational practice, professional education and future research.</w:t>
      </w:r>
    </w:p>
    <w:p w14:paraId="752CFE67"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The Helsinki meeting brought together 28 health and care professionals and informal caregiver representatives from 15 European countries, including representatives from Ministries, national agencies and public and private care networks. This gives the Declaration a strong multidisciplinary and European foundation.</w:t>
      </w:r>
    </w:p>
    <w:p w14:paraId="5A28A4FC"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Let us now build on this work by ensuring that the Declaration reaches the people and organisations who can translate its principles into policy and practice.</w:t>
      </w:r>
    </w:p>
    <w:p w14:paraId="644E4338"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Thank you for your support and for helping to strengthen the visibility of patient safety at home across Europe.</w:t>
      </w:r>
    </w:p>
    <w:p w14:paraId="297595DC"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With best wishes,</w:t>
      </w:r>
    </w:p>
    <w:p w14:paraId="1F02DC96"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color w:val="000000"/>
          <w:kern w:val="0"/>
          <w:lang w:eastAsia="en-GB"/>
          <w14:ligatures w14:val="none"/>
        </w:rPr>
        <w:t>Professor Sandra C. Buttigieg</w:t>
      </w:r>
      <w:r w:rsidRPr="005C642F">
        <w:rPr>
          <w:rFonts w:ascii="Times New Roman" w:eastAsia="Times New Roman" w:hAnsi="Times New Roman" w:cs="Times New Roman"/>
          <w:color w:val="000000"/>
          <w:kern w:val="0"/>
          <w:lang w:eastAsia="en-GB"/>
          <w14:ligatures w14:val="none"/>
        </w:rPr>
        <w:br/>
        <w:t>Co-Leader, Working Group 1</w:t>
      </w:r>
      <w:r w:rsidRPr="005C642F">
        <w:rPr>
          <w:rFonts w:ascii="Times New Roman" w:eastAsia="Times New Roman" w:hAnsi="Times New Roman" w:cs="Times New Roman"/>
          <w:color w:val="000000"/>
          <w:kern w:val="0"/>
          <w:lang w:eastAsia="en-GB"/>
          <w14:ligatures w14:val="none"/>
        </w:rPr>
        <w:br/>
        <w:t>COST Action CA22152 – BetterCare</w:t>
      </w:r>
      <w:r w:rsidRPr="005C642F">
        <w:rPr>
          <w:rFonts w:ascii="Times New Roman" w:eastAsia="Times New Roman" w:hAnsi="Times New Roman" w:cs="Times New Roman"/>
          <w:color w:val="000000"/>
          <w:kern w:val="0"/>
          <w:lang w:eastAsia="en-GB"/>
          <w14:ligatures w14:val="none"/>
        </w:rPr>
        <w:br/>
        <w:t>University of Malta</w:t>
      </w:r>
    </w:p>
    <w:p w14:paraId="4BD51ACB" w14:textId="77777777" w:rsidR="005C642F" w:rsidRPr="005C642F" w:rsidRDefault="005C642F" w:rsidP="005C64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5C642F">
        <w:rPr>
          <w:rFonts w:ascii="Times New Roman" w:eastAsia="Times New Roman" w:hAnsi="Times New Roman" w:cs="Times New Roman"/>
          <w:i/>
          <w:iCs/>
          <w:color w:val="000000"/>
          <w:kern w:val="0"/>
          <w:lang w:eastAsia="en-GB"/>
          <w14:ligatures w14:val="none"/>
        </w:rPr>
        <w:t>“Protecting those who care is part of protecting those who receive care.”</w:t>
      </w:r>
    </w:p>
    <w:p w14:paraId="48005022" w14:textId="77777777" w:rsidR="005C642F" w:rsidRPr="005C642F" w:rsidRDefault="005C642F"/>
    <w:sectPr w:rsidR="005C642F" w:rsidRPr="005C64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EA97FD0"/>
    <w:multiLevelType w:val="multilevel"/>
    <w:tmpl w:val="203E3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761943"/>
    <w:multiLevelType w:val="multilevel"/>
    <w:tmpl w:val="C1EE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6765F9"/>
    <w:multiLevelType w:val="multilevel"/>
    <w:tmpl w:val="B3EC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AC23C9"/>
    <w:multiLevelType w:val="multilevel"/>
    <w:tmpl w:val="18302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1274911">
    <w:abstractNumId w:val="0"/>
  </w:num>
  <w:num w:numId="2" w16cid:durableId="1021127884">
    <w:abstractNumId w:val="3"/>
  </w:num>
  <w:num w:numId="3" w16cid:durableId="1886212657">
    <w:abstractNumId w:val="1"/>
  </w:num>
  <w:num w:numId="4" w16cid:durableId="1266688174">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42F"/>
    <w:rsid w:val="0003243D"/>
    <w:rsid w:val="005C642F"/>
  </w:rsids>
  <m:mathPr>
    <m:mathFont m:val="Cambria Math"/>
    <m:brkBin m:val="before"/>
    <m:brkBinSub m:val="--"/>
    <m:smallFrac m:val="0"/>
    <m:dispDef/>
    <m:lMargin m:val="0"/>
    <m:rMargin m:val="0"/>
    <m:defJc m:val="centerGroup"/>
    <m:wrapIndent m:val="1440"/>
    <m:intLim m:val="subSup"/>
    <m:naryLim m:val="undOvr"/>
  </m:mathPr>
  <w:themeFontLang w:val="en-MT"/>
  <w:clrSchemeMapping w:bg1="light1" w:t1="dark1" w:bg2="light2" w:t2="dark2" w:accent1="accent1" w:accent2="accent2" w:accent3="accent3" w:accent4="accent4" w:accent5="accent5" w:accent6="accent6" w:hyperlink="hyperlink" w:followedHyperlink="followedHyperlink"/>
  <w:decimalSymbol w:val="."/>
  <w:listSeparator w:val=","/>
  <w14:docId w14:val="29E3500C"/>
  <w15:chartTrackingRefBased/>
  <w15:docId w15:val="{F350F5E9-A0F0-FE45-9DA7-5F73EEDD9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M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64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64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C64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64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64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64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64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64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64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4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64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C64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64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64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64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64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64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642F"/>
    <w:rPr>
      <w:rFonts w:eastAsiaTheme="majorEastAsia" w:cstheme="majorBidi"/>
      <w:color w:val="272727" w:themeColor="text1" w:themeTint="D8"/>
    </w:rPr>
  </w:style>
  <w:style w:type="paragraph" w:styleId="Title">
    <w:name w:val="Title"/>
    <w:basedOn w:val="Normal"/>
    <w:next w:val="Normal"/>
    <w:link w:val="TitleChar"/>
    <w:uiPriority w:val="10"/>
    <w:qFormat/>
    <w:rsid w:val="005C64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64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64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64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642F"/>
    <w:pPr>
      <w:spacing w:before="160"/>
      <w:jc w:val="center"/>
    </w:pPr>
    <w:rPr>
      <w:i/>
      <w:iCs/>
      <w:color w:val="404040" w:themeColor="text1" w:themeTint="BF"/>
    </w:rPr>
  </w:style>
  <w:style w:type="character" w:customStyle="1" w:styleId="QuoteChar">
    <w:name w:val="Quote Char"/>
    <w:basedOn w:val="DefaultParagraphFont"/>
    <w:link w:val="Quote"/>
    <w:uiPriority w:val="29"/>
    <w:rsid w:val="005C642F"/>
    <w:rPr>
      <w:i/>
      <w:iCs/>
      <w:color w:val="404040" w:themeColor="text1" w:themeTint="BF"/>
    </w:rPr>
  </w:style>
  <w:style w:type="paragraph" w:styleId="ListParagraph">
    <w:name w:val="List Paragraph"/>
    <w:basedOn w:val="Normal"/>
    <w:uiPriority w:val="34"/>
    <w:qFormat/>
    <w:rsid w:val="005C642F"/>
    <w:pPr>
      <w:ind w:left="720"/>
      <w:contextualSpacing/>
    </w:pPr>
  </w:style>
  <w:style w:type="character" w:styleId="IntenseEmphasis">
    <w:name w:val="Intense Emphasis"/>
    <w:basedOn w:val="DefaultParagraphFont"/>
    <w:uiPriority w:val="21"/>
    <w:qFormat/>
    <w:rsid w:val="005C642F"/>
    <w:rPr>
      <w:i/>
      <w:iCs/>
      <w:color w:val="0F4761" w:themeColor="accent1" w:themeShade="BF"/>
    </w:rPr>
  </w:style>
  <w:style w:type="paragraph" w:styleId="IntenseQuote">
    <w:name w:val="Intense Quote"/>
    <w:basedOn w:val="Normal"/>
    <w:next w:val="Normal"/>
    <w:link w:val="IntenseQuoteChar"/>
    <w:uiPriority w:val="30"/>
    <w:qFormat/>
    <w:rsid w:val="005C64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642F"/>
    <w:rPr>
      <w:i/>
      <w:iCs/>
      <w:color w:val="0F4761" w:themeColor="accent1" w:themeShade="BF"/>
    </w:rPr>
  </w:style>
  <w:style w:type="character" w:styleId="IntenseReference">
    <w:name w:val="Intense Reference"/>
    <w:basedOn w:val="DefaultParagraphFont"/>
    <w:uiPriority w:val="32"/>
    <w:qFormat/>
    <w:rsid w:val="005C642F"/>
    <w:rPr>
      <w:b/>
      <w:bCs/>
      <w:smallCaps/>
      <w:color w:val="0F4761" w:themeColor="accent1" w:themeShade="BF"/>
      <w:spacing w:val="5"/>
    </w:rPr>
  </w:style>
  <w:style w:type="paragraph" w:styleId="NormalWeb">
    <w:name w:val="Normal (Web)"/>
    <w:basedOn w:val="Normal"/>
    <w:uiPriority w:val="99"/>
    <w:semiHidden/>
    <w:unhideWhenUsed/>
    <w:rsid w:val="005C642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5C642F"/>
  </w:style>
  <w:style w:type="character" w:styleId="Strong">
    <w:name w:val="Strong"/>
    <w:basedOn w:val="DefaultParagraphFont"/>
    <w:uiPriority w:val="22"/>
    <w:qFormat/>
    <w:rsid w:val="005C642F"/>
    <w:rPr>
      <w:b/>
      <w:bCs/>
    </w:rPr>
  </w:style>
  <w:style w:type="character" w:styleId="Emphasis">
    <w:name w:val="Emphasis"/>
    <w:basedOn w:val="DefaultParagraphFont"/>
    <w:uiPriority w:val="20"/>
    <w:qFormat/>
    <w:rsid w:val="005C64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1075</Words>
  <Characters>6132</Characters>
  <Application>Microsoft Office Word</Application>
  <DocSecurity>0</DocSecurity>
  <Lines>51</Lines>
  <Paragraphs>14</Paragraphs>
  <ScaleCrop>false</ScaleCrop>
  <Company/>
  <LinksUpToDate>false</LinksUpToDate>
  <CharactersWithSpaces>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Buttigieg</dc:creator>
  <cp:keywords/>
  <dc:description/>
  <cp:lastModifiedBy>Sandra Buttigieg</cp:lastModifiedBy>
  <cp:revision>1</cp:revision>
  <dcterms:created xsi:type="dcterms:W3CDTF">2026-08-24T10:50:00Z</dcterms:created>
  <dcterms:modified xsi:type="dcterms:W3CDTF">2026-08-24T10:52:00Z</dcterms:modified>
</cp:coreProperties>
</file>